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3 - fac-simile Piano Finanziario TRIENNALE Cofinanziamento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i w:val="1"/>
          <w:i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i w:val="1"/>
          <w:i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i w:val="1"/>
          <w:i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i w:val="1"/>
          <w:i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i w:val="1"/>
          <w:i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30"/>
          <w:szCs w:val="30"/>
          <w:highlight w:val="white"/>
          <w:rtl w:val="0"/>
        </w:rPr>
        <w:t xml:space="preserve">DAL/DAI SOGGETTO/I CONCORRENTE/I 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i w:val="1"/>
          <w:i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TRASFERIMENTI AI BENEFICIARI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iCs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GENERALI (personale amm.vo, materiale d’ufficio, strumenti, attrezzature, comunicazione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, etc.) *  </w:t>
      </w:r>
      <w:r w:rsidDel="00000000" w:rsidR="00000000" w:rsidRPr="00000000">
        <w:rPr>
          <w:b w:val="1"/>
          <w:bCs w:val="1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9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A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D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TOTALE RISORSE A CO-FINANZIAMENTO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PIANO FINANZIARIO DI SINTESI triennale: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7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A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D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E">
            <w:pPr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