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ff"/>
          <w:sz w:val="30"/>
          <w:szCs w:val="30"/>
          <w:highlight w:val="white"/>
          <w:rtl w:val="0"/>
        </w:rPr>
        <w:t xml:space="preserve">ALLEGATO 2.1 - fac-simile Piano Finanziario 3° Annualità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AREA 4 LECCE+FABRIZI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3° ANNUALITA’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6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bookmarkStart w:colFirst="0" w:colLast="0" w:name="_lv4bpcche3o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5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SPESE DI INVESTIMENTO (ARREDI)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keepNext w:val="1"/>
              <w:numPr>
                <w:ilvl w:val="1"/>
                <w:numId w:val="1"/>
              </w:num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PIANO FINANZIARIO DI SINTESI 3° anno: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keepNext w:val="1"/>
              <w:numPr>
                <w:ilvl w:val="1"/>
                <w:numId w:val="2"/>
              </w:numPr>
              <w:jc w:val="right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4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bCs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